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32"/>
          <w:szCs w:val="32"/>
          <w:lang w:val="en-US" w:eastAsia="zh-CN" w:bidi="ar"/>
        </w:rPr>
        <w:t>杭州湾校区汽车充电桩项目合同</w:t>
      </w:r>
    </w:p>
    <w:p>
      <w:pPr>
        <w:keepNext w:val="0"/>
        <w:keepLines w:val="0"/>
        <w:pageBreakBefore w:val="0"/>
        <w:widowControl w:val="0"/>
        <w:kinsoku/>
        <w:wordWrap/>
        <w:overflowPunct/>
        <w:topLinePunct w:val="0"/>
        <w:autoSpaceDE/>
        <w:autoSpaceDN/>
        <w:bidi w:val="0"/>
        <w:adjustRightInd/>
        <w:snapToGrid/>
        <w:spacing w:line="360" w:lineRule="auto"/>
        <w:ind w:right="-15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采购编号：</w:t>
      </w:r>
      <w:r>
        <w:rPr>
          <w:rFonts w:hint="eastAsia" w:ascii="宋体" w:hAnsi="宋体" w:eastAsia="宋体" w:cs="宋体"/>
          <w:color w:val="000000"/>
          <w:kern w:val="0"/>
          <w:sz w:val="24"/>
          <w:szCs w:val="24"/>
          <w:lang w:val="en-US" w:eastAsia="zh-CN" w:bidi="ar"/>
        </w:rPr>
        <w:t>ZJZC-231165-3-C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项目名称：宁波幼儿师范高等专科学校杭州湾校区汽车充电桩采购项目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甲方：宁波幼儿师范高等专科学校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乙方：贝兹德智能科技有限公司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甲、乙双方根据宁波幼儿师范高等专科学校杭州湾校区汽车充电桩采购项目</w:t>
      </w:r>
    </w:p>
    <w:p>
      <w:pPr>
        <w:keepNext w:val="0"/>
        <w:keepLines w:val="0"/>
        <w:pageBreakBefore w:val="0"/>
        <w:widowControl w:val="0"/>
        <w:kinsoku/>
        <w:wordWrap/>
        <w:overflowPunct/>
        <w:topLinePunct w:val="0"/>
        <w:autoSpaceDE/>
        <w:autoSpaceDN/>
        <w:bidi w:val="0"/>
        <w:adjustRightInd/>
        <w:snapToGrid/>
        <w:spacing w:line="360" w:lineRule="auto"/>
        <w:ind w:right="-15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（项目编号：ZJZC-231165-3-C）成交结果，签署本合同。甲方的《采购文件》、乙方的《报价响应文件》及其澄清文件、成交通知书均为本合同不可分割部分。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货物内容 </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15"/>
        <w:gridCol w:w="915"/>
        <w:gridCol w:w="1005"/>
        <w:gridCol w:w="1230"/>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 w:type="dxa"/>
            <w:vAlign w:val="center"/>
          </w:tcPr>
          <w:p>
            <w:pPr>
              <w:jc w:val="center"/>
              <w:rPr>
                <w:szCs w:val="21"/>
              </w:rPr>
            </w:pPr>
            <w:r>
              <w:rPr>
                <w:szCs w:val="21"/>
              </w:rPr>
              <w:t>序号</w:t>
            </w:r>
          </w:p>
        </w:tc>
        <w:tc>
          <w:tcPr>
            <w:tcW w:w="1815" w:type="dxa"/>
            <w:vAlign w:val="center"/>
          </w:tcPr>
          <w:p>
            <w:pPr>
              <w:jc w:val="center"/>
              <w:rPr>
                <w:rFonts w:hint="eastAsia" w:eastAsiaTheme="minorEastAsia"/>
                <w:szCs w:val="21"/>
                <w:lang w:eastAsia="zh-CN"/>
              </w:rPr>
            </w:pPr>
            <w:r>
              <w:rPr>
                <w:rFonts w:hint="eastAsia"/>
                <w:szCs w:val="21"/>
                <w:lang w:val="en-US" w:eastAsia="zh-CN"/>
              </w:rPr>
              <w:t>货物名称</w:t>
            </w:r>
          </w:p>
        </w:tc>
        <w:tc>
          <w:tcPr>
            <w:tcW w:w="915" w:type="dxa"/>
            <w:vAlign w:val="center"/>
          </w:tcPr>
          <w:p>
            <w:pPr>
              <w:jc w:val="center"/>
              <w:rPr>
                <w:szCs w:val="21"/>
              </w:rPr>
            </w:pPr>
            <w:r>
              <w:rPr>
                <w:szCs w:val="21"/>
              </w:rPr>
              <w:t>数量</w:t>
            </w:r>
          </w:p>
        </w:tc>
        <w:tc>
          <w:tcPr>
            <w:tcW w:w="1005" w:type="dxa"/>
            <w:vAlign w:val="center"/>
          </w:tcPr>
          <w:p>
            <w:pPr>
              <w:jc w:val="center"/>
              <w:rPr>
                <w:szCs w:val="21"/>
              </w:rPr>
            </w:pPr>
            <w:r>
              <w:rPr>
                <w:szCs w:val="21"/>
              </w:rPr>
              <w:t>单价</w:t>
            </w:r>
          </w:p>
        </w:tc>
        <w:tc>
          <w:tcPr>
            <w:tcW w:w="1230" w:type="dxa"/>
            <w:vAlign w:val="center"/>
          </w:tcPr>
          <w:p>
            <w:pPr>
              <w:jc w:val="center"/>
              <w:rPr>
                <w:szCs w:val="21"/>
              </w:rPr>
            </w:pPr>
            <w:r>
              <w:rPr>
                <w:rFonts w:hint="eastAsia"/>
                <w:szCs w:val="21"/>
                <w:lang w:val="en-US" w:eastAsia="zh-CN"/>
              </w:rPr>
              <w:t>金额</w:t>
            </w:r>
          </w:p>
        </w:tc>
        <w:tc>
          <w:tcPr>
            <w:tcW w:w="3068" w:type="dxa"/>
            <w:vAlign w:val="center"/>
          </w:tcPr>
          <w:p>
            <w:pPr>
              <w:jc w:val="center"/>
              <w:rPr>
                <w:szCs w:val="21"/>
              </w:rPr>
            </w:pPr>
            <w:r>
              <w:rPr>
                <w:szCs w:val="21"/>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一级配电柜</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1个</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9328</w:t>
            </w:r>
          </w:p>
        </w:tc>
        <w:tc>
          <w:tcPr>
            <w:tcW w:w="1230" w:type="dxa"/>
            <w:vAlign w:val="center"/>
          </w:tcPr>
          <w:p>
            <w:pPr>
              <w:keepNext w:val="0"/>
              <w:keepLines w:val="0"/>
              <w:widowControl/>
              <w:suppressLineNumbers w:val="0"/>
              <w:jc w:val="right"/>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9328</w:t>
            </w:r>
          </w:p>
        </w:tc>
        <w:tc>
          <w:tcPr>
            <w:tcW w:w="3068" w:type="dxa"/>
            <w:vAlign w:val="center"/>
          </w:tcPr>
          <w:p>
            <w:pPr>
              <w:pStyle w:val="3"/>
              <w:spacing w:after="120" w:line="340" w:lineRule="exact"/>
              <w:ind w:firstLine="210"/>
              <w:jc w:val="left"/>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施耐德XL-21/600*1500*370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2</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二级配电箱</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2个</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4522</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9044</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施耐德JXF/500*600*200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3</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三级配电盒</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30个</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170</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5100</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施耐德JXF/400*200*200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4</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桥架</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48米</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4464</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杭州天丰150*100*1.5mm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5</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桥架</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217米</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11935</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杭州天丰100*50*1.5mm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6</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铁构件</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1批</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2355</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2355</w:t>
            </w:r>
          </w:p>
        </w:tc>
        <w:tc>
          <w:tcPr>
            <w:tcW w:w="3068" w:type="dxa"/>
            <w:vAlign w:val="center"/>
          </w:tcPr>
          <w:p>
            <w:pPr>
              <w:pStyle w:val="3"/>
              <w:spacing w:after="120" w:line="340" w:lineRule="exact"/>
              <w:ind w:firstLine="210"/>
              <w:jc w:val="left"/>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7</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金属结构刷油</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1批</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954.8</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954.8</w:t>
            </w:r>
          </w:p>
        </w:tc>
        <w:tc>
          <w:tcPr>
            <w:tcW w:w="3068" w:type="dxa"/>
            <w:vAlign w:val="center"/>
          </w:tcPr>
          <w:p>
            <w:pPr>
              <w:pStyle w:val="4"/>
              <w:jc w:val="left"/>
              <w:rPr>
                <w:rFonts w:hint="eastAsia" w:ascii="宋体" w:hAnsi="宋体" w:eastAsia="宋体" w:cs="宋体"/>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8</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配管</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70米</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1680</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lang w:val="en-US" w:eastAsia="zh-CN"/>
              </w:rPr>
              <w:t>金洲</w:t>
            </w:r>
            <w:r>
              <w:rPr>
                <w:rFonts w:hint="eastAsia" w:ascii="宋体" w:hAnsi="宋体" w:eastAsia="宋体" w:cs="宋体"/>
                <w:sz w:val="18"/>
                <w:szCs w:val="22"/>
              </w:rPr>
              <w:t>SC25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9</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电力电缆</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985米</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32505</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杭州中策YJV-铜芯电3*10mm2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10</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电力电缆</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104米</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316</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32864</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杭州中策YJV-铜芯电缆4*95+1*50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11</w:t>
            </w:r>
          </w:p>
        </w:tc>
        <w:tc>
          <w:tcPr>
            <w:tcW w:w="18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电力电缆</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238米</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503</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119714</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杭州中策YJV-铜芯电缆4*150+1*70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12</w:t>
            </w:r>
          </w:p>
        </w:tc>
        <w:tc>
          <w:tcPr>
            <w:tcW w:w="1815" w:type="dxa"/>
            <w:vAlign w:val="center"/>
          </w:tcPr>
          <w:p>
            <w:pPr>
              <w:keepNext w:val="0"/>
              <w:keepLines w:val="0"/>
              <w:widowControl/>
              <w:suppressLineNumbers w:val="0"/>
              <w:jc w:val="center"/>
              <w:rPr>
                <w:rFonts w:hint="eastAsia" w:ascii="宋体" w:hAnsi="宋体" w:eastAsia="宋体" w:cs="宋体"/>
                <w:sz w:val="21"/>
                <w:szCs w:val="24"/>
              </w:rPr>
            </w:pPr>
            <w:r>
              <w:rPr>
                <w:rFonts w:hint="eastAsia" w:ascii="宋体" w:hAnsi="宋体" w:eastAsia="宋体" w:cs="宋体"/>
                <w:color w:val="000000"/>
                <w:kern w:val="0"/>
                <w:sz w:val="22"/>
                <w:szCs w:val="22"/>
                <w:lang w:val="en-US" w:eastAsia="zh-CN" w:bidi="ar"/>
              </w:rPr>
              <w:t>电力电缆头</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2个</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207</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414</w:t>
            </w:r>
          </w:p>
        </w:tc>
        <w:tc>
          <w:tcPr>
            <w:tcW w:w="3068" w:type="dxa"/>
            <w:vAlign w:val="center"/>
          </w:tcPr>
          <w:p>
            <w:pPr>
              <w:pStyle w:val="3"/>
              <w:spacing w:after="120" w:line="340" w:lineRule="exact"/>
              <w:ind w:firstLine="210"/>
              <w:jc w:val="left"/>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西熔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13</w:t>
            </w:r>
          </w:p>
        </w:tc>
        <w:tc>
          <w:tcPr>
            <w:tcW w:w="1815" w:type="dxa"/>
            <w:vAlign w:val="center"/>
          </w:tcPr>
          <w:p>
            <w:pPr>
              <w:keepNext w:val="0"/>
              <w:keepLines w:val="0"/>
              <w:widowControl/>
              <w:suppressLineNumbers w:val="0"/>
              <w:jc w:val="center"/>
              <w:rPr>
                <w:rFonts w:hint="eastAsia" w:ascii="宋体" w:hAnsi="宋体" w:eastAsia="宋体" w:cs="宋体"/>
                <w:sz w:val="21"/>
                <w:szCs w:val="24"/>
              </w:rPr>
            </w:pPr>
            <w:r>
              <w:rPr>
                <w:rFonts w:hint="eastAsia" w:ascii="宋体" w:hAnsi="宋体" w:eastAsia="宋体" w:cs="宋体"/>
                <w:color w:val="000000"/>
                <w:kern w:val="0"/>
                <w:sz w:val="22"/>
                <w:szCs w:val="22"/>
                <w:lang w:val="en-US" w:eastAsia="zh-CN" w:bidi="ar"/>
              </w:rPr>
              <w:t>电力电缆头</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4个</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174</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696</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lang w:val="en-US" w:eastAsia="zh-CN"/>
              </w:rPr>
              <w:t>西熔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14</w:t>
            </w:r>
          </w:p>
        </w:tc>
        <w:tc>
          <w:tcPr>
            <w:tcW w:w="1815" w:type="dxa"/>
            <w:vAlign w:val="center"/>
          </w:tcPr>
          <w:p>
            <w:pPr>
              <w:keepNext w:val="0"/>
              <w:keepLines w:val="0"/>
              <w:widowControl/>
              <w:suppressLineNumbers w:val="0"/>
              <w:jc w:val="center"/>
              <w:rPr>
                <w:rFonts w:hint="eastAsia" w:ascii="宋体" w:hAnsi="宋体" w:eastAsia="宋体" w:cs="宋体"/>
                <w:sz w:val="21"/>
                <w:szCs w:val="24"/>
              </w:rPr>
            </w:pPr>
            <w:r>
              <w:rPr>
                <w:rFonts w:hint="eastAsia" w:ascii="宋体" w:hAnsi="宋体" w:eastAsia="宋体" w:cs="宋体"/>
                <w:color w:val="000000"/>
                <w:kern w:val="0"/>
                <w:sz w:val="22"/>
                <w:szCs w:val="22"/>
                <w:lang w:val="en-US" w:eastAsia="zh-CN" w:bidi="ar"/>
              </w:rPr>
              <w:t>电力电缆头</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30个</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1830</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lang w:val="en-US" w:eastAsia="zh-CN"/>
              </w:rPr>
              <w:t>西熔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15</w:t>
            </w:r>
          </w:p>
        </w:tc>
        <w:tc>
          <w:tcPr>
            <w:tcW w:w="1815" w:type="dxa"/>
            <w:vAlign w:val="center"/>
          </w:tcPr>
          <w:p>
            <w:pPr>
              <w:keepNext w:val="0"/>
              <w:keepLines w:val="0"/>
              <w:widowControl/>
              <w:suppressLineNumbers w:val="0"/>
              <w:jc w:val="center"/>
              <w:rPr>
                <w:rFonts w:hint="eastAsia" w:ascii="宋体" w:hAnsi="宋体" w:eastAsia="宋体" w:cs="宋体"/>
                <w:sz w:val="21"/>
                <w:szCs w:val="24"/>
              </w:rPr>
            </w:pPr>
            <w:r>
              <w:rPr>
                <w:rFonts w:hint="eastAsia" w:ascii="宋体" w:hAnsi="宋体" w:eastAsia="宋体" w:cs="宋体"/>
                <w:color w:val="000000"/>
                <w:kern w:val="0"/>
                <w:sz w:val="22"/>
                <w:szCs w:val="22"/>
                <w:lang w:val="en-US" w:eastAsia="zh-CN" w:bidi="ar"/>
              </w:rPr>
              <w:t>固定充电桩</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30套</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2072</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62160</w:t>
            </w:r>
          </w:p>
        </w:tc>
        <w:tc>
          <w:tcPr>
            <w:tcW w:w="3068" w:type="dxa"/>
            <w:vAlign w:val="center"/>
          </w:tcPr>
          <w:p>
            <w:pPr>
              <w:pStyle w:val="3"/>
              <w:spacing w:after="120" w:line="340" w:lineRule="exact"/>
              <w:ind w:firstLine="210"/>
              <w:jc w:val="left"/>
              <w:rPr>
                <w:rFonts w:hint="eastAsia" w:ascii="宋体" w:hAnsi="宋体" w:eastAsia="宋体" w:cs="宋体"/>
                <w:sz w:val="18"/>
                <w:szCs w:val="22"/>
              </w:rPr>
            </w:pPr>
            <w:r>
              <w:rPr>
                <w:rFonts w:hint="eastAsia" w:ascii="宋体" w:hAnsi="宋体" w:eastAsia="宋体" w:cs="宋体"/>
                <w:sz w:val="18"/>
                <w:szCs w:val="22"/>
              </w:rPr>
              <w:t>贝兹德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4" w:type="dxa"/>
            <w:vAlign w:val="center"/>
          </w:tcPr>
          <w:p>
            <w:pPr>
              <w:pStyle w:val="3"/>
              <w:spacing w:after="120" w:line="340" w:lineRule="exact"/>
              <w:jc w:val="both"/>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16</w:t>
            </w:r>
          </w:p>
        </w:tc>
        <w:tc>
          <w:tcPr>
            <w:tcW w:w="1815" w:type="dxa"/>
            <w:vAlign w:val="center"/>
          </w:tcPr>
          <w:p>
            <w:pPr>
              <w:keepNext w:val="0"/>
              <w:keepLines w:val="0"/>
              <w:widowControl/>
              <w:suppressLineNumbers w:val="0"/>
              <w:jc w:val="center"/>
              <w:rPr>
                <w:rFonts w:hint="eastAsia" w:ascii="宋体" w:hAnsi="宋体" w:eastAsia="宋体" w:cs="宋体"/>
                <w:sz w:val="21"/>
                <w:szCs w:val="24"/>
              </w:rPr>
            </w:pPr>
            <w:r>
              <w:rPr>
                <w:rFonts w:hint="eastAsia" w:ascii="宋体" w:hAnsi="宋体" w:eastAsia="宋体" w:cs="宋体"/>
                <w:color w:val="000000"/>
                <w:kern w:val="0"/>
                <w:sz w:val="22"/>
                <w:szCs w:val="22"/>
                <w:lang w:val="en-US" w:eastAsia="zh-CN" w:bidi="ar"/>
              </w:rPr>
              <w:t>系统对接</w:t>
            </w:r>
          </w:p>
        </w:tc>
        <w:tc>
          <w:tcPr>
            <w:tcW w:w="915" w:type="dxa"/>
            <w:vAlign w:val="center"/>
          </w:tcPr>
          <w:p>
            <w:pPr>
              <w:pStyle w:val="3"/>
              <w:spacing w:after="120" w:line="340" w:lineRule="exact"/>
              <w:ind w:left="0" w:leftChars="0" w:firstLine="0" w:firstLineChars="0"/>
              <w:jc w:val="cente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1项</w:t>
            </w:r>
          </w:p>
        </w:tc>
        <w:tc>
          <w:tcPr>
            <w:tcW w:w="1005" w:type="dxa"/>
            <w:vAlign w:val="center"/>
          </w:tcPr>
          <w:p>
            <w:pPr>
              <w:keepNext w:val="0"/>
              <w:keepLines w:val="0"/>
              <w:widowControl/>
              <w:suppressLineNumbers w:val="0"/>
              <w:jc w:val="center"/>
              <w:textAlignment w:val="center"/>
              <w:rPr>
                <w:rFonts w:hint="default"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28260</w:t>
            </w:r>
          </w:p>
        </w:tc>
        <w:tc>
          <w:tcPr>
            <w:tcW w:w="1230" w:type="dxa"/>
            <w:vAlign w:val="center"/>
          </w:tcPr>
          <w:p>
            <w:pPr>
              <w:keepNext w:val="0"/>
              <w:keepLines w:val="0"/>
              <w:widowControl/>
              <w:suppressLineNumbers w:val="0"/>
              <w:jc w:val="right"/>
              <w:textAlignment w:val="center"/>
              <w:rPr>
                <w:rFonts w:hint="eastAsia" w:ascii="宋体" w:hAnsi="宋体" w:eastAsia="宋体" w:cs="宋体"/>
                <w:sz w:val="22"/>
                <w:szCs w:val="32"/>
                <w:lang w:val="en-US" w:eastAsia="zh-CN"/>
              </w:rPr>
            </w:pPr>
            <w:r>
              <w:rPr>
                <w:rFonts w:hint="eastAsia" w:ascii="宋体" w:hAnsi="宋体" w:eastAsia="宋体" w:cs="宋体"/>
                <w:i w:val="0"/>
                <w:iCs w:val="0"/>
                <w:color w:val="000000"/>
                <w:kern w:val="0"/>
                <w:sz w:val="22"/>
                <w:szCs w:val="22"/>
                <w:u w:val="none"/>
                <w:lang w:val="en-US" w:eastAsia="zh-CN" w:bidi="ar"/>
              </w:rPr>
              <w:t>28260</w:t>
            </w:r>
          </w:p>
        </w:tc>
        <w:tc>
          <w:tcPr>
            <w:tcW w:w="3068" w:type="dxa"/>
            <w:vAlign w:val="center"/>
          </w:tcPr>
          <w:p>
            <w:pPr>
              <w:pStyle w:val="3"/>
              <w:spacing w:after="120" w:line="340" w:lineRule="exact"/>
              <w:ind w:firstLine="210"/>
              <w:jc w:val="left"/>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正元一卡通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94" w:type="dxa"/>
            <w:gridSpan w:val="3"/>
            <w:vAlign w:val="center"/>
          </w:tcPr>
          <w:p>
            <w:pPr>
              <w:jc w:val="center"/>
              <w:rPr>
                <w:rFonts w:hint="eastAsia" w:ascii="宋体" w:hAnsi="宋体" w:eastAsia="宋体" w:cs="宋体"/>
                <w:sz w:val="24"/>
                <w:szCs w:val="24"/>
              </w:rPr>
            </w:pPr>
            <w:r>
              <w:rPr>
                <w:rFonts w:hint="eastAsia" w:ascii="宋体" w:hAnsi="宋体" w:eastAsia="宋体" w:cs="宋体"/>
                <w:sz w:val="21"/>
                <w:szCs w:val="21"/>
              </w:rPr>
              <w:t>合  计</w:t>
            </w:r>
          </w:p>
        </w:tc>
        <w:tc>
          <w:tcPr>
            <w:tcW w:w="5303" w:type="dxa"/>
            <w:gridSpan w:val="3"/>
            <w:vAlign w:val="center"/>
          </w:tcPr>
          <w:p>
            <w:pPr>
              <w:pStyle w:val="3"/>
              <w:spacing w:after="120" w:line="340" w:lineRule="exact"/>
              <w:ind w:firstLine="210"/>
              <w:jc w:val="center"/>
              <w:rPr>
                <w:rFonts w:hint="eastAsia" w:ascii="宋体" w:hAnsi="宋体" w:eastAsia="宋体" w:cs="宋体"/>
                <w:sz w:val="21"/>
                <w:szCs w:val="28"/>
                <w:lang w:val="en-US" w:eastAsia="zh-CN"/>
              </w:rPr>
            </w:pPr>
            <w:r>
              <w:rPr>
                <w:rFonts w:hint="eastAsia" w:ascii="宋体" w:hAnsi="宋体" w:eastAsia="宋体" w:cs="宋体"/>
                <w:sz w:val="24"/>
                <w:szCs w:val="36"/>
                <w:lang w:val="en-US" w:eastAsia="zh-CN"/>
              </w:rPr>
              <w:t>323303.8元</w:t>
            </w:r>
            <w:bookmarkStart w:id="0" w:name="_GoBack"/>
            <w:bookmarkEnd w:id="0"/>
          </w:p>
        </w:tc>
      </w:tr>
    </w:tbl>
    <w:p>
      <w:pPr>
        <w:pStyle w:val="8"/>
        <w:numPr>
          <w:ilvl w:val="0"/>
          <w:numId w:val="0"/>
        </w:numPr>
        <w:ind w:leftChars="200"/>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二、合同金额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本合同金额人民币为（大写）：</w:t>
      </w:r>
      <w:r>
        <w:rPr>
          <w:rFonts w:hint="eastAsia" w:ascii="宋体" w:hAnsi="宋体" w:eastAsia="宋体" w:cs="宋体"/>
          <w:color w:val="000000"/>
          <w:kern w:val="0"/>
          <w:sz w:val="24"/>
          <w:szCs w:val="24"/>
          <w:u w:val="none"/>
          <w:lang w:val="en-US" w:eastAsia="zh-CN" w:bidi="ar"/>
        </w:rPr>
        <w:t>叁拾贰万叁仟叁佰零叁元捌角</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none"/>
          <w:lang w:val="en-US" w:eastAsia="zh-CN" w:bidi="ar"/>
        </w:rPr>
        <w:t>￥323303.8</w:t>
      </w:r>
      <w:r>
        <w:rPr>
          <w:rFonts w:hint="eastAsia" w:ascii="宋体" w:hAnsi="宋体" w:eastAsia="宋体" w:cs="宋体"/>
          <w:color w:val="000000"/>
          <w:kern w:val="0"/>
          <w:sz w:val="24"/>
          <w:szCs w:val="24"/>
          <w:lang w:val="en-US" w:eastAsia="zh-CN" w:bidi="ar"/>
        </w:rPr>
        <w:t>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三、技术资料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乙方应按要求在规定的时间组织安装，向甲方提供使用货物的有关技术资料，做好各项质量检查及记录，通过竣工验收，移交竣工图纸。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没有甲方事先书面同意，乙方不得将甲方提供的有关合同或任何合同条文、规格、计划、图纸、样品或资料提供给与履行本合同无关的任何其他人。即使向履行本合同有关的人员提供，也应注意保密并限于履行合同的必需范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四、安全生产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乙方必须落实安装中的安全、文明施工和消防、治安等事宜，若发生以上责任事件，一切责任和后果由乙方负责。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五、知识产权及产权担保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1.乙方应保证所提供的货物或其任何一部分均不会侵犯任何第三方的知识产权。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乙方保证所交付货物的所有权完全属于乙方且无任何抵押、查封等产权瑕疵。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六、履约保证金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本项目无履约保证金。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七、转包或分包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本合同范围的货物，应由乙方直接供应，不得转让他人供应；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除非得到甲方的书面同意，乙方不得部分分包给他人供应。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如有转让和未经甲方同意的分包行为，甲方有权给予终止合同。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八、质保期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本项目设备提供3年免费质保期，软件提供8年免费质保期。（自交货验收合格之日起计）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九、交货期、交货方式及交货地点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1.交货期：合同签订日起45日内交货安装并完成最终验收。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2.交货方式：乙方负责物流运送至安装现场交货。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3.交货地点：杭州湾校区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十、货款支付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项目签订合同后，甲方向乙方预付合同总额的 40%； 项目竣工验收通过后，甲方向乙方支付合同剩余款项。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十一、税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本合同执行中相关的一切税费均由乙方负担。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十二、质量保证及售后服务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1.乙方应按招标文件规定的货物性能、技术要求、质量标准向甲方提供未经使用的全新产品。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2.乙方提供的货物在质量保证期内因货物本身的质量问题发生故障，乙方应负责免费更换。对达不到技术要求者，根据实际情况，经双方协商，可按以下办法处理：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⑴更换：由乙方承担所发生的全部费用。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⑵贬值处理：由甲乙双方合议定价。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⑶退货处理：乙方应退还甲方支付的合同款，同时应承担该货物的直接费用（运输、保险、检验、货款利息及银行手续费等）。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如在使用过程中发生质量问题，乙方在接到甲方通知后在24小时内到达甲方现场。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在质保期内，乙方应对货物出现的质量及安全问题负责处理解决并承担一切费用。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5.上述的货物因人为因素出现的故障不在免费保修范围内。超过保修期的机器 设备，终生维修，维修时只收部件成本费。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十三、调试和验收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甲方对乙方提交的货物依据招标文件上的技术规格要求和国家有关质量标准进行现场初步验收，外观、说明书符合招标文件技术要求的，给予签收，初步验收不合格的不予签收。货到后，甲方需在五个工作日内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2.乙方交货前应对产品作出全面检查和对验收文件进行整理，并列出清单，作为甲方收货验收和使用的技术条件依据，检验的结果应随货物交甲方。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3.甲方对乙方提供的货物在使用前进行调试时，乙方需负责安装并培训甲方的使用操作人员，并协助甲方一起调试，直到符合技术要求，甲方才做最终验收。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4.对技术复杂的货物，甲方应请国家认可的专业检测机构参与初步验收及最终验收，并由其出具质量检测报告。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5.验收时乙方必须在现场，验收完毕后作出验收结果报告；验收费用由乙方负责。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十四、货物包装、发运及运输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1.乙方应在货物发运前对其进行满足运输距离、防潮、防震、防锈和防破损装卸等要求包装，以保证货物安全运达甲方指定地点。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使用说明书、质量检验证明书、随配附件和工具以及清单一并附于货物内。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乙方在货物发运手续办理完毕后 24 小时内或货到甲方 48 小时前通知甲方，以准备接货。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货物在交付甲方前发生的风险均由乙方负责。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货物在规定的交付期限内由乙方送达甲方指定的地点视为交付，乙方同时需通知甲方货物已送达。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十五、违约责任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甲方无正当理由拒收货物的，甲方向乙方偿付拒收货款总值的百分之五违约金。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甲方无故逾期验收和办理货款支付手续的,甲方应按逾期付款总额每日万分之五向乙方支付违约金。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3.乙方逾期交付货物的，乙方应按逾期交货总额每日千分之六向甲方支付违约金，由甲方从待付货款中扣除。逾期超过约定日期 10 个工作日不能交货的，甲方可解除本合同。乙方因逾期交货或因其他违约行为导致甲方解除合同的，乙方应向甲方支付合同总值 5%的违约金，如造成甲方损失超过违约金的，超出部分由乙方继续承担赔偿责任。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乙方所交的货物品种、型号、规格、技术参数、质量不符合合同规定及招标文件规定标准的，甲方有权拒收该货物，乙方愿意更换货物但逾期交货的，按乙方逾期交货处理。乙方拒绝更换货物的，甲方可单方面解除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十六、不可抗力事件处理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在合同有效期内，任何一方因不可抗力事件导致不能履行合同，则合同履行期可延长，其延长期与不可抗力影响期相同。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2.不可抗力事件发生后，应立即通知对方，并寄送有关权威机构出具的证明。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3.不可抗力事件延续 120 天以上，双方应通过友好协商，确定是否继续履行合同。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十七、诉讼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双方在执行合同中所发生的一切争议，应通过协商解决。如协商不成，可向甲方所在地法院起诉。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十八、合同生效及其它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1.合同经双方法定代表人或授权委托代理人签字并加盖单位公章后生效。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2.本合同未尽事宜，遵照《民法典》有关条文执行。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3.本合同一式伍份，甲方执肆份，乙方执壹份，具有同等法律效力。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甲方（盖章）：                         乙方（盖章）：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法定代表人或                           法定代表人或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授权代表人（签字）：                   授权代表人（签字）：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签订日期：    年    月   日           签订日期：     年   月   日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85242"/>
    <w:multiLevelType w:val="singleLevel"/>
    <w:tmpl w:val="069852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198006D7"/>
    <w:rsid w:val="1A1E0B37"/>
    <w:rsid w:val="1A4C7127"/>
    <w:rsid w:val="2F137E5C"/>
    <w:rsid w:val="4017511A"/>
    <w:rsid w:val="431346A2"/>
    <w:rsid w:val="5719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200" w:lineRule="exact"/>
      <w:ind w:firstLine="301"/>
    </w:pPr>
    <w:rPr>
      <w:rFonts w:ascii="宋体"/>
      <w:spacing w:val="-4"/>
      <w:sz w:val="18"/>
      <w:szCs w:val="22"/>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pPr>
      <w:spacing w:beforeLines="50" w:afterLines="50" w:line="400" w:lineRule="exact"/>
    </w:pPr>
    <w:rPr>
      <w:rFonts w:ascii="宋体"/>
      <w:kern w:val="0"/>
      <w:sz w:val="24"/>
    </w:rPr>
  </w:style>
  <w:style w:type="paragraph" w:customStyle="1" w:styleId="8">
    <w:name w:val="Body Text First Indent 21"/>
    <w:basedOn w:val="9"/>
    <w:qFormat/>
    <w:uiPriority w:val="0"/>
    <w:pPr>
      <w:ind w:firstLine="420"/>
    </w:pPr>
  </w:style>
  <w:style w:type="paragraph" w:customStyle="1" w:styleId="9">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2548</Words>
  <Characters>2747</Characters>
  <Lines>0</Lines>
  <Paragraphs>0</Paragraphs>
  <TotalTime>2</TotalTime>
  <ScaleCrop>false</ScaleCrop>
  <LinksUpToDate>false</LinksUpToDate>
  <CharactersWithSpaces>2985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2023-09-04T01:41:00Z</dcterms:created>
  <dc:creator>win10</dc:creator>
  <cp:lastModifiedBy>屠挺锋</cp:lastModifiedBy>
  <dcterms:modified xsi:type="dcterms:W3CDTF">2023-09-10T12:48:54Z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CBF5ED2F8E864DC19465D7DC10D18D63_12</vt:lpwstr>
  </property>
</Properties>
</file>